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MBdyTxt"/>
        <w:spacing w:after="0"/>
        <w:jc w:val="center"/>
        <w:rPr>
          <w:rFonts w:ascii="Garamond" w:hAnsi="Garamond"/>
        </w:rPr>
      </w:pPr>
      <w:bookmarkStart w:id="0" w:name="Verdatum"/>
      <w:bookmarkStart w:id="1" w:name="_GoBack"/>
      <w:bookmarkEnd w:id="0"/>
      <w:bookmarkEnd w:id="1"/>
      <w:r>
        <w:rPr>
          <w:rFonts w:ascii="Garamond" w:hAnsi="Garamond"/>
          <w:b/>
        </w:rPr>
        <w:t>DETAILED AGENDA</w:t>
      </w:r>
    </w:p>
    <w:p>
      <w:pPr>
        <w:pStyle w:val="DMBdyTxt"/>
        <w:spacing w:after="0"/>
        <w:jc w:val="center"/>
        <w:rPr>
          <w:rFonts w:ascii="Garamond" w:hAnsi="Garamond"/>
        </w:rPr>
      </w:pPr>
      <w:r>
        <w:rPr>
          <w:rFonts w:ascii="Garamond" w:hAnsi="Garamond"/>
          <w:b/>
        </w:rPr>
        <w:t>Copyright Society CLE – Liability Considerations in Enterprise Use of Generative AI</w:t>
      </w:r>
    </w:p>
    <w:p>
      <w:pPr>
        <w:pStyle w:val="DMBdyTxt"/>
        <w:spacing w:after="0"/>
        <w:jc w:val="center"/>
        <w:rPr>
          <w:rFonts w:ascii="Garamond" w:hAnsi="Garamond"/>
        </w:rPr>
      </w:pPr>
      <w:r>
        <w:rPr>
          <w:rFonts w:ascii="Garamond" w:hAnsi="Garamond"/>
        </w:rPr>
        <w:t>Webinar, June 27, 2023</w:t>
      </w:r>
    </w:p>
    <w:p>
      <w:pPr>
        <w:pStyle w:val="DMBdyTxt"/>
        <w:spacing w:after="0"/>
        <w:rPr>
          <w:rFonts w:ascii="Garamond" w:hAnsi="Garamond"/>
        </w:rPr>
      </w:pPr>
    </w:p>
    <w:p>
      <w:pPr>
        <w:pStyle w:val="DMBdyTxt"/>
        <w:spacing w:after="0"/>
        <w:rPr>
          <w:rFonts w:ascii="Garamond" w:hAnsi="Garamond"/>
        </w:rPr>
      </w:pPr>
    </w:p>
    <w:p>
      <w:pPr>
        <w:pStyle w:val="DMBdyTxt"/>
        <w:spacing w:after="0"/>
        <w:rPr>
          <w:rFonts w:ascii="Garamond" w:hAnsi="Garamond"/>
          <w:bCs/>
        </w:rPr>
      </w:pPr>
      <w:r>
        <w:rPr>
          <w:rFonts w:ascii="Garamond" w:hAnsi="Garamond"/>
          <w:b/>
          <w:bCs/>
        </w:rPr>
        <w:t>Introduction</w:t>
      </w:r>
    </w:p>
    <w:p>
      <w:pPr>
        <w:pStyle w:val="DMBdyTxt"/>
        <w:spacing w:after="0"/>
        <w:rPr>
          <w:rFonts w:ascii="Garamond" w:hAnsi="Garamond"/>
        </w:rPr>
      </w:pPr>
      <w:r>
        <w:rPr>
          <w:rFonts w:ascii="Garamond" w:hAnsi="Garamond"/>
        </w:rPr>
        <w:t>5 minutes</w:t>
      </w:r>
    </w:p>
    <w:p>
      <w:pPr>
        <w:pStyle w:val="DMBullet5"/>
        <w:tabs>
          <w:tab w:val="clear" w:pos="1440"/>
          <w:tab w:val="num" w:pos="720"/>
        </w:tabs>
        <w:ind w:left="720" w:hanging="360"/>
        <w:rPr>
          <w:rFonts w:ascii="Garamond" w:hAnsi="Garamond"/>
        </w:rPr>
      </w:pPr>
      <w:r>
        <w:rPr>
          <w:rFonts w:ascii="Garamond" w:hAnsi="Garamond"/>
        </w:rPr>
        <w:t xml:space="preserve">Aleksander Goranin (moderator) introduces the speakers, provides a high-level roadmap of the program, and explains the session’s focus on </w:t>
      </w:r>
      <w:r>
        <w:rPr>
          <w:rFonts w:ascii="Garamond" w:hAnsi="Garamond"/>
          <w:u w:val="single"/>
        </w:rPr>
        <w:t>generative</w:t>
      </w:r>
      <w:r>
        <w:rPr>
          <w:rFonts w:ascii="Garamond" w:hAnsi="Garamond"/>
        </w:rPr>
        <w:t xml:space="preserve"> AI (“gen AI”) like large language models (LLMs) and Midjourney-type image generators, not classifier AI models like more traditional recommendation systems and photo recognition systems.</w:t>
      </w:r>
    </w:p>
    <w:p>
      <w:pPr>
        <w:pStyle w:val="DMBullet5"/>
        <w:numPr>
          <w:ilvl w:val="0"/>
          <w:numId w:val="0"/>
        </w:numPr>
        <w:tabs>
          <w:tab w:val="num" w:pos="720"/>
        </w:tabs>
        <w:ind w:left="720" w:hanging="360"/>
        <w:rPr>
          <w:rFonts w:ascii="Garamond" w:hAnsi="Garamond"/>
        </w:rPr>
      </w:pPr>
    </w:p>
    <w:p>
      <w:pPr>
        <w:pStyle w:val="DMBullet5"/>
        <w:numPr>
          <w:ilvl w:val="0"/>
          <w:numId w:val="0"/>
        </w:numPr>
        <w:rPr>
          <w:rFonts w:ascii="Garamond" w:hAnsi="Garamond"/>
        </w:rPr>
      </w:pPr>
      <w:r>
        <w:rPr>
          <w:rFonts w:ascii="Garamond" w:hAnsi="Garamond"/>
          <w:b/>
        </w:rPr>
        <w:t>Module 1: Real-world copyright risks faced by gen AI system users and deployers</w:t>
      </w:r>
    </w:p>
    <w:p>
      <w:pPr>
        <w:pStyle w:val="DMBullet5"/>
        <w:numPr>
          <w:ilvl w:val="0"/>
          <w:numId w:val="0"/>
        </w:numPr>
        <w:rPr>
          <w:rFonts w:ascii="Garamond" w:hAnsi="Garamond"/>
        </w:rPr>
      </w:pPr>
      <w:r>
        <w:rPr>
          <w:rFonts w:ascii="Garamond" w:hAnsi="Garamond"/>
        </w:rPr>
        <w:t>35 minutes</w:t>
      </w:r>
    </w:p>
    <w:p>
      <w:pPr>
        <w:pStyle w:val="DMBullet5"/>
        <w:tabs>
          <w:tab w:val="clear" w:pos="1440"/>
          <w:tab w:val="num" w:pos="720"/>
        </w:tabs>
        <w:ind w:left="720" w:hanging="360"/>
        <w:rPr>
          <w:rFonts w:ascii="Garamond" w:hAnsi="Garamond"/>
        </w:rPr>
      </w:pPr>
      <w:r>
        <w:rPr>
          <w:rFonts w:ascii="Garamond" w:hAnsi="Garamond"/>
        </w:rPr>
        <w:t xml:space="preserve">Regina Thomas (Yahoo) provides the </w:t>
      </w:r>
      <w:r>
        <w:rPr>
          <w:rFonts w:ascii="Garamond" w:hAnsi="Garamond"/>
          <w:b/>
          <w:u w:val="single"/>
        </w:rPr>
        <w:t>user</w:t>
      </w:r>
      <w:r>
        <w:rPr>
          <w:rFonts w:ascii="Garamond" w:hAnsi="Garamond"/>
        </w:rPr>
        <w:t xml:space="preserve"> perspective. She comments on (a) internal processes she employs to centralize business-unit questions about gen AI tool use; (b) the current guidance she offers on acceptable and unacceptable uses; and (c) issues around detecting and labeling whether a particular image/output is human-generated or synthetic.</w:t>
      </w:r>
    </w:p>
    <w:p>
      <w:pPr>
        <w:pStyle w:val="DMBullet5"/>
        <w:tabs>
          <w:tab w:val="clear" w:pos="1440"/>
          <w:tab w:val="num" w:pos="720"/>
        </w:tabs>
        <w:ind w:left="720" w:hanging="360"/>
        <w:rPr>
          <w:rFonts w:ascii="Garamond" w:hAnsi="Garamond"/>
        </w:rPr>
      </w:pPr>
      <w:r>
        <w:rPr>
          <w:rFonts w:ascii="Garamond" w:hAnsi="Garamond"/>
        </w:rPr>
        <w:t xml:space="preserve">Alex Rindels (Jasper) provides the </w:t>
      </w:r>
      <w:r>
        <w:rPr>
          <w:rFonts w:ascii="Garamond" w:hAnsi="Garamond"/>
          <w:b/>
          <w:u w:val="single"/>
        </w:rPr>
        <w:t>deployer</w:t>
      </w:r>
      <w:r>
        <w:rPr>
          <w:rFonts w:ascii="Garamond" w:hAnsi="Garamond"/>
          <w:b/>
        </w:rPr>
        <w:t xml:space="preserve"> </w:t>
      </w:r>
      <w:r>
        <w:rPr>
          <w:rFonts w:ascii="Garamond" w:hAnsi="Garamond"/>
        </w:rPr>
        <w:t>perspective, using the generation of marketing content—Jasper’s particular business vertical—as an exemplary use case. He discusses (a) the advice he provides to his business units on copyrightability of generated marketing content; (b) assessments and training he provides to minimize potential copyright violations from use of copyrighted material as model training inputs; and (c) indemnification and other risk allocation that arises in license agreement negotiations with Jasper customers.</w:t>
      </w:r>
    </w:p>
    <w:p>
      <w:pPr>
        <w:pStyle w:val="DMBullet5"/>
        <w:tabs>
          <w:tab w:val="clear" w:pos="1440"/>
          <w:tab w:val="num" w:pos="720"/>
        </w:tabs>
        <w:ind w:left="720" w:hanging="360"/>
        <w:rPr>
          <w:rFonts w:ascii="Garamond" w:hAnsi="Garamond"/>
        </w:rPr>
      </w:pPr>
      <w:r>
        <w:rPr>
          <w:rFonts w:ascii="Garamond" w:hAnsi="Garamond"/>
        </w:rPr>
        <w:t>Peter Henderson (Stanford University) discusses the empirical work he conducted in his “Foundation Models and Fair Use” paper, examining the extent to which OpenAI’s GPT model can “memorize” copyrighted works and be prompted to reproduce their content. He also presents cutting-edge research on technological measures and best practices for model training that can be used to minimize such “memorization” and reproduction.</w:t>
      </w:r>
    </w:p>
    <w:p>
      <w:pPr>
        <w:pStyle w:val="DMBullet5"/>
        <w:numPr>
          <w:ilvl w:val="0"/>
          <w:numId w:val="0"/>
        </w:numPr>
        <w:ind w:left="720"/>
        <w:rPr>
          <w:rFonts w:ascii="Garamond" w:hAnsi="Garamond"/>
        </w:rPr>
      </w:pPr>
    </w:p>
    <w:p>
      <w:pPr>
        <w:pStyle w:val="DMBullet5"/>
        <w:numPr>
          <w:ilvl w:val="0"/>
          <w:numId w:val="0"/>
        </w:numPr>
        <w:ind w:left="720" w:hanging="360"/>
        <w:rPr>
          <w:rFonts w:ascii="Garamond" w:hAnsi="Garamond"/>
        </w:rPr>
      </w:pPr>
      <w:r>
        <w:rPr>
          <w:rFonts w:ascii="Garamond" w:hAnsi="Garamond"/>
          <w:u w:val="single"/>
        </w:rPr>
        <w:t>Supporting written material</w:t>
      </w:r>
    </w:p>
    <w:p>
      <w:pPr>
        <w:pStyle w:val="DMBullet5"/>
        <w:numPr>
          <w:ilvl w:val="1"/>
          <w:numId w:val="10"/>
        </w:numPr>
        <w:tabs>
          <w:tab w:val="clear" w:pos="2160"/>
          <w:tab w:val="num" w:pos="1080"/>
        </w:tabs>
        <w:ind w:left="1080"/>
        <w:rPr>
          <w:rFonts w:ascii="Garamond" w:hAnsi="Garamond"/>
        </w:rPr>
      </w:pPr>
      <w:r>
        <w:rPr>
          <w:rFonts w:ascii="Garamond" w:hAnsi="Garamond"/>
        </w:rPr>
        <w:t xml:space="preserve">Jasper “Plans &amp; Pricing” webpage: </w:t>
      </w:r>
      <w:hyperlink r:id="rId7" w:history="1">
        <w:r>
          <w:rPr>
            <w:rStyle w:val="Hyperlink"/>
            <w:rFonts w:ascii="Garamond" w:hAnsi="Garamond"/>
          </w:rPr>
          <w:t>https://www.jasper.ai/pricing</w:t>
        </w:r>
      </w:hyperlink>
      <w:r>
        <w:rPr>
          <w:rFonts w:ascii="Garamond" w:hAnsi="Garamond"/>
        </w:rPr>
        <w:t xml:space="preserve"> and “Use Cases” webpage: </w:t>
      </w:r>
      <w:hyperlink r:id="rId8" w:history="1">
        <w:r>
          <w:rPr>
            <w:rStyle w:val="Hyperlink"/>
            <w:rFonts w:ascii="Garamond" w:hAnsi="Garamond"/>
          </w:rPr>
          <w:t>https://help.jasper.ai/category/420-jasper-use-cases</w:t>
        </w:r>
      </w:hyperlink>
      <w:r>
        <w:rPr>
          <w:rFonts w:ascii="Garamond" w:hAnsi="Garamond"/>
        </w:rPr>
        <w:t xml:space="preserve"> </w:t>
      </w:r>
    </w:p>
    <w:p>
      <w:pPr>
        <w:pStyle w:val="DMBullet5"/>
        <w:numPr>
          <w:ilvl w:val="1"/>
          <w:numId w:val="10"/>
        </w:numPr>
        <w:tabs>
          <w:tab w:val="clear" w:pos="2160"/>
          <w:tab w:val="num" w:pos="1080"/>
        </w:tabs>
        <w:ind w:left="1080"/>
        <w:rPr>
          <w:rFonts w:ascii="Garamond" w:hAnsi="Garamond"/>
        </w:rPr>
      </w:pPr>
      <w:r>
        <w:rPr>
          <w:rFonts w:ascii="Garamond" w:hAnsi="Garamond"/>
        </w:rPr>
        <w:t xml:space="preserve">Peter Henderson et al., “Foundation Models and Fair Use,” posted March 28, 2023, </w:t>
      </w:r>
      <w:hyperlink r:id="rId9" w:history="1">
        <w:r>
          <w:rPr>
            <w:rStyle w:val="Hyperlink"/>
            <w:rFonts w:ascii="Garamond" w:hAnsi="Garamond"/>
          </w:rPr>
          <w:t>https://arxiv.org/abs/2303.15715</w:t>
        </w:r>
      </w:hyperlink>
    </w:p>
    <w:p>
      <w:pPr>
        <w:pStyle w:val="DMBullet5"/>
        <w:numPr>
          <w:ilvl w:val="1"/>
          <w:numId w:val="10"/>
        </w:numPr>
        <w:tabs>
          <w:tab w:val="clear" w:pos="2160"/>
          <w:tab w:val="num" w:pos="1080"/>
        </w:tabs>
        <w:ind w:left="1080"/>
        <w:rPr>
          <w:rFonts w:ascii="Garamond" w:hAnsi="Garamond"/>
        </w:rPr>
      </w:pPr>
      <w:r>
        <w:rPr>
          <w:rFonts w:ascii="Garamond" w:hAnsi="Garamond"/>
        </w:rPr>
        <w:t xml:space="preserve">Matthew Sag, “Copyright Safety for Generative AI,” posted May 4, 2023, </w:t>
      </w:r>
      <w:hyperlink r:id="rId10" w:history="1">
        <w:r>
          <w:rPr>
            <w:rStyle w:val="Hyperlink"/>
            <w:rFonts w:ascii="Garamond" w:hAnsi="Garamond"/>
          </w:rPr>
          <w:t>https://papers.ssrn.com/sol3/papers.cfm?abstract_id=4438593</w:t>
        </w:r>
      </w:hyperlink>
    </w:p>
    <w:p>
      <w:pPr>
        <w:pStyle w:val="DMBullet5"/>
        <w:numPr>
          <w:ilvl w:val="1"/>
          <w:numId w:val="10"/>
        </w:numPr>
        <w:tabs>
          <w:tab w:val="clear" w:pos="2160"/>
          <w:tab w:val="num" w:pos="1080"/>
        </w:tabs>
        <w:ind w:left="1080"/>
        <w:rPr>
          <w:rFonts w:ascii="Garamond" w:hAnsi="Garamond"/>
        </w:rPr>
      </w:pPr>
      <w:r>
        <w:rPr>
          <w:rFonts w:ascii="Garamond" w:hAnsi="Garamond"/>
        </w:rPr>
        <w:t xml:space="preserve">OpenAI “GPT Best Practices” webpage: </w:t>
      </w:r>
      <w:hyperlink r:id="rId11" w:history="1">
        <w:r>
          <w:rPr>
            <w:rStyle w:val="Hyperlink"/>
            <w:rFonts w:ascii="Garamond" w:hAnsi="Garamond"/>
          </w:rPr>
          <w:t>https://platform.openai.com/docs/guides/gpt-best-practices</w:t>
        </w:r>
      </w:hyperlink>
      <w:r>
        <w:rPr>
          <w:rFonts w:ascii="Garamond" w:hAnsi="Garamond"/>
        </w:rPr>
        <w:t xml:space="preserve"> </w:t>
      </w:r>
    </w:p>
    <w:p>
      <w:pPr>
        <w:pStyle w:val="DMBdyTxt"/>
        <w:spacing w:after="0"/>
        <w:rPr>
          <w:rFonts w:ascii="Garamond" w:hAnsi="Garamond"/>
        </w:rPr>
      </w:pPr>
      <w:r>
        <w:rPr>
          <w:rFonts w:ascii="Garamond" w:hAnsi="Garamond"/>
          <w:b/>
          <w:bCs/>
        </w:rPr>
        <w:t>Brief interlude</w:t>
      </w:r>
    </w:p>
    <w:p>
      <w:pPr>
        <w:pStyle w:val="DMBdyTxt"/>
        <w:spacing w:after="0"/>
        <w:rPr>
          <w:rFonts w:ascii="Garamond" w:hAnsi="Garamond"/>
        </w:rPr>
      </w:pPr>
      <w:r>
        <w:rPr>
          <w:rFonts w:ascii="Garamond" w:hAnsi="Garamond"/>
        </w:rPr>
        <w:t>5 minutes</w:t>
      </w:r>
    </w:p>
    <w:p>
      <w:pPr>
        <w:pStyle w:val="DMBullet5"/>
        <w:tabs>
          <w:tab w:val="clear" w:pos="1440"/>
          <w:tab w:val="num" w:pos="720"/>
        </w:tabs>
        <w:ind w:left="720" w:hanging="360"/>
        <w:rPr>
          <w:rFonts w:ascii="Garamond" w:hAnsi="Garamond"/>
        </w:rPr>
      </w:pPr>
      <w:r>
        <w:rPr>
          <w:rFonts w:ascii="Garamond" w:hAnsi="Garamond"/>
        </w:rPr>
        <w:t>The panelists will share which gen AI tools they’ve incorporated into their professional workflows</w:t>
      </w:r>
    </w:p>
    <w:p>
      <w:pPr>
        <w:pStyle w:val="DMBdyTxt"/>
        <w:spacing w:after="0"/>
        <w:rPr>
          <w:rFonts w:ascii="Garamond" w:hAnsi="Garamond"/>
        </w:rPr>
      </w:pPr>
      <w:r>
        <w:rPr>
          <w:rFonts w:ascii="Garamond" w:hAnsi="Garamond"/>
        </w:rPr>
        <w:t> </w:t>
      </w:r>
    </w:p>
    <w:p>
      <w:pPr>
        <w:pStyle w:val="DMBdyTxt"/>
        <w:spacing w:after="0"/>
        <w:rPr>
          <w:rFonts w:ascii="Garamond" w:hAnsi="Garamond"/>
        </w:rPr>
      </w:pPr>
    </w:p>
    <w:p>
      <w:pPr>
        <w:pStyle w:val="DMBdyTxt"/>
        <w:spacing w:after="0"/>
        <w:rPr>
          <w:rFonts w:ascii="Garamond" w:hAnsi="Garamond"/>
          <w:bCs/>
        </w:rPr>
      </w:pPr>
      <w:r>
        <w:rPr>
          <w:rFonts w:ascii="Garamond" w:hAnsi="Garamond"/>
          <w:b/>
          <w:bCs/>
        </w:rPr>
        <w:t>Module 2</w:t>
      </w:r>
      <w:r>
        <w:rPr>
          <w:rFonts w:ascii="Garamond" w:hAnsi="Garamond"/>
        </w:rPr>
        <w:t xml:space="preserve">: </w:t>
      </w:r>
      <w:r>
        <w:rPr>
          <w:rFonts w:ascii="Garamond" w:hAnsi="Garamond"/>
          <w:b/>
          <w:bCs/>
        </w:rPr>
        <w:t>Secondary copyright liability in an online platform context, content moderation, and Section 230’s applicability to gen AI systems</w:t>
      </w:r>
    </w:p>
    <w:p>
      <w:pPr>
        <w:pStyle w:val="DMBdyTxt"/>
        <w:spacing w:after="0"/>
        <w:rPr>
          <w:rFonts w:ascii="Garamond" w:hAnsi="Garamond"/>
          <w:bCs/>
        </w:rPr>
      </w:pPr>
      <w:r>
        <w:rPr>
          <w:rFonts w:ascii="Garamond" w:hAnsi="Garamond"/>
          <w:bCs/>
        </w:rPr>
        <w:t>35 minutes</w:t>
      </w:r>
    </w:p>
    <w:p>
      <w:pPr>
        <w:pStyle w:val="DMBullet5"/>
        <w:tabs>
          <w:tab w:val="clear" w:pos="1440"/>
          <w:tab w:val="num" w:pos="720"/>
        </w:tabs>
        <w:ind w:left="720" w:hanging="360"/>
        <w:rPr>
          <w:rFonts w:ascii="Garamond" w:hAnsi="Garamond"/>
        </w:rPr>
      </w:pPr>
      <w:r>
        <w:rPr>
          <w:rFonts w:ascii="Garamond" w:hAnsi="Garamond"/>
        </w:rPr>
        <w:t>Most gen AI systems are offered as web services (“software as a service” or “SasS”), thereby raising many of the same copyright and copyright-adjacent legal issues as online platforms like Facebook, Instagram, YouTube, and Twitter experience. This section of the program analyzes how those issues may apply and may be decided in the gen AI context.</w:t>
      </w:r>
    </w:p>
    <w:p>
      <w:pPr>
        <w:pStyle w:val="DMBullet5"/>
        <w:tabs>
          <w:tab w:val="clear" w:pos="1440"/>
          <w:tab w:val="num" w:pos="720"/>
        </w:tabs>
        <w:ind w:left="720" w:hanging="360"/>
        <w:rPr>
          <w:rFonts w:ascii="Garamond" w:hAnsi="Garamond"/>
        </w:rPr>
      </w:pPr>
      <w:r>
        <w:rPr>
          <w:rFonts w:ascii="Garamond" w:hAnsi="Garamond"/>
        </w:rPr>
        <w:t>Aleksander Goranin (moderator) provides a short refresher on the main doctrines of secondary copyright liability—contributory infringement and vicarious infringement—to explain the common-law setting against which statutory safe harbors like the Digital Millennium Copyright Act’s section 512 notice-and-takedown system and the Communication Decency Act’s section 230 safe harbor for third-party content were enacted.</w:t>
      </w:r>
    </w:p>
    <w:p>
      <w:pPr>
        <w:pStyle w:val="DMBullet5"/>
        <w:tabs>
          <w:tab w:val="clear" w:pos="1440"/>
          <w:tab w:val="num" w:pos="720"/>
        </w:tabs>
        <w:ind w:left="720" w:hanging="360"/>
        <w:rPr>
          <w:rFonts w:ascii="Garamond" w:hAnsi="Garamond"/>
        </w:rPr>
      </w:pPr>
      <w:r>
        <w:rPr>
          <w:rFonts w:ascii="Garamond" w:hAnsi="Garamond"/>
        </w:rPr>
        <w:t>Jess Miers (Chamber of Progress) then explains the current debates among the gen AI tech players regarding (a) content moderation/section 512 notice and takedown and (b) the section 230 safe harbor for “information provided by another information content provider.” She describes a recent defamation lawsuit filed against OpenAI in Georgia, as well as the current legislative controversy over whether gen AI systems should be protected under Section 230.</w:t>
      </w:r>
    </w:p>
    <w:p>
      <w:pPr>
        <w:pStyle w:val="DMBullet5"/>
        <w:tabs>
          <w:tab w:val="clear" w:pos="1440"/>
          <w:tab w:val="num" w:pos="720"/>
        </w:tabs>
        <w:ind w:left="720" w:hanging="360"/>
        <w:rPr>
          <w:rFonts w:ascii="Garamond" w:hAnsi="Garamond"/>
        </w:rPr>
      </w:pPr>
      <w:r>
        <w:rPr>
          <w:rFonts w:ascii="Garamond" w:hAnsi="Garamond"/>
        </w:rPr>
        <w:t>Regina Thomas (Yahoo) and Alex Rindels (Jasper) follow up by discussing the content moderation and Section 230 issues their respective platforms face. With respect to content moderation, they focus on the challenge of removing copyrighted content from a gen AI model in response to a DMCA notice. With respect to section 230, they address the unique wrinkle presented when relying on a generated output received from a third-party AI model through an application program interface (API).</w:t>
      </w:r>
    </w:p>
    <w:p>
      <w:pPr>
        <w:pStyle w:val="DMBullet5"/>
        <w:tabs>
          <w:tab w:val="clear" w:pos="1440"/>
          <w:tab w:val="num" w:pos="720"/>
        </w:tabs>
        <w:ind w:left="720" w:hanging="360"/>
        <w:rPr>
          <w:rFonts w:ascii="Garamond" w:hAnsi="Garamond"/>
        </w:rPr>
      </w:pPr>
      <w:r>
        <w:rPr>
          <w:rFonts w:ascii="Garamond" w:hAnsi="Garamond"/>
        </w:rPr>
        <w:t>Peter Henderson (Stanford) concludes by recapping the Section 230 issues in his “Foundation Models and Fair Use” paper and discussing the current state of academic research on ways of removing flagged or problematic training data from an AI model.</w:t>
      </w:r>
    </w:p>
    <w:p>
      <w:pPr>
        <w:pStyle w:val="DMBullet5"/>
        <w:numPr>
          <w:ilvl w:val="0"/>
          <w:numId w:val="0"/>
        </w:numPr>
        <w:ind w:left="720"/>
        <w:rPr>
          <w:rFonts w:ascii="Garamond" w:hAnsi="Garamond"/>
        </w:rPr>
      </w:pPr>
    </w:p>
    <w:p>
      <w:pPr>
        <w:pStyle w:val="DMBullet5"/>
        <w:numPr>
          <w:ilvl w:val="0"/>
          <w:numId w:val="0"/>
        </w:numPr>
        <w:ind w:left="720" w:hanging="360"/>
        <w:rPr>
          <w:rFonts w:ascii="Garamond" w:hAnsi="Garamond"/>
        </w:rPr>
      </w:pPr>
      <w:r>
        <w:rPr>
          <w:rFonts w:ascii="Garamond" w:hAnsi="Garamond"/>
          <w:u w:val="single"/>
        </w:rPr>
        <w:t>Supporting written material</w:t>
      </w:r>
    </w:p>
    <w:p>
      <w:pPr>
        <w:pStyle w:val="DMBullet5"/>
        <w:numPr>
          <w:ilvl w:val="1"/>
          <w:numId w:val="10"/>
        </w:numPr>
        <w:tabs>
          <w:tab w:val="clear" w:pos="2160"/>
          <w:tab w:val="num" w:pos="1080"/>
        </w:tabs>
        <w:ind w:left="1080"/>
        <w:rPr>
          <w:rFonts w:ascii="Garamond" w:hAnsi="Garamond"/>
        </w:rPr>
      </w:pPr>
      <w:r>
        <w:rPr>
          <w:rFonts w:ascii="Garamond" w:hAnsi="Garamond"/>
        </w:rPr>
        <w:t xml:space="preserve">Digital Millennium Copyright Act, 17 U.S.C. § 512, </w:t>
      </w:r>
      <w:hyperlink r:id="rId12" w:history="1">
        <w:r>
          <w:rPr>
            <w:rStyle w:val="Hyperlink"/>
            <w:rFonts w:ascii="Garamond" w:hAnsi="Garamond"/>
          </w:rPr>
          <w:t>https://www.law.cornell.edu/uscode/text/17/512</w:t>
        </w:r>
      </w:hyperlink>
    </w:p>
    <w:p>
      <w:pPr>
        <w:pStyle w:val="DMBullet5"/>
        <w:numPr>
          <w:ilvl w:val="1"/>
          <w:numId w:val="10"/>
        </w:numPr>
        <w:tabs>
          <w:tab w:val="clear" w:pos="2160"/>
          <w:tab w:val="num" w:pos="1080"/>
        </w:tabs>
        <w:ind w:left="1080"/>
        <w:rPr>
          <w:rFonts w:ascii="Garamond" w:hAnsi="Garamond"/>
        </w:rPr>
      </w:pPr>
      <w:r>
        <w:rPr>
          <w:rFonts w:ascii="Garamond" w:hAnsi="Garamond"/>
        </w:rPr>
        <w:t xml:space="preserve">Copyright Office, “Section 512 of Title 17: A Report of the Register of Copyrights,” May 2020, </w:t>
      </w:r>
      <w:hyperlink r:id="rId13" w:history="1">
        <w:r>
          <w:rPr>
            <w:rStyle w:val="Hyperlink"/>
            <w:rFonts w:ascii="Garamond" w:hAnsi="Garamond"/>
          </w:rPr>
          <w:t>https://www.copyright.gov/policy/section512/section-512-full-report.pdf</w:t>
        </w:r>
      </w:hyperlink>
    </w:p>
    <w:p>
      <w:pPr>
        <w:pStyle w:val="DMBullet5"/>
        <w:numPr>
          <w:ilvl w:val="1"/>
          <w:numId w:val="10"/>
        </w:numPr>
        <w:tabs>
          <w:tab w:val="clear" w:pos="2160"/>
          <w:tab w:val="num" w:pos="1080"/>
        </w:tabs>
        <w:ind w:left="1080"/>
        <w:rPr>
          <w:rFonts w:ascii="Garamond" w:hAnsi="Garamond"/>
        </w:rPr>
      </w:pPr>
      <w:r>
        <w:rPr>
          <w:rFonts w:ascii="Garamond" w:hAnsi="Garamond"/>
        </w:rPr>
        <w:t>Communications Decency Act, 4</w:t>
      </w:r>
      <w:r>
        <w:rPr>
          <w:rFonts w:ascii="Garamond" w:hAnsi="Garamond"/>
        </w:rPr>
        <w:t>7 U.S.C. §</w:t>
      </w:r>
      <w:r>
        <w:rPr>
          <w:rFonts w:ascii="Garamond" w:hAnsi="Garamond"/>
        </w:rPr>
        <w:t xml:space="preserve"> 230,</w:t>
      </w:r>
    </w:p>
    <w:p>
      <w:pPr>
        <w:pStyle w:val="DMBullet5"/>
        <w:numPr>
          <w:ilvl w:val="0"/>
          <w:numId w:val="0"/>
        </w:numPr>
        <w:ind w:left="1080"/>
        <w:rPr>
          <w:rFonts w:ascii="Garamond" w:hAnsi="Garamond"/>
        </w:rPr>
      </w:pPr>
      <w:hyperlink r:id="rId14" w:history="1">
        <w:r>
          <w:rPr>
            <w:rStyle w:val="Hyperlink"/>
            <w:rFonts w:ascii="Garamond" w:hAnsi="Garamond"/>
          </w:rPr>
          <w:t>https://www.law.cornell.edu/uscode/text/47/230</w:t>
        </w:r>
      </w:hyperlink>
      <w:r>
        <w:rPr>
          <w:rFonts w:ascii="Garamond" w:hAnsi="Garamond"/>
        </w:rPr>
        <w:t xml:space="preserve"> </w:t>
      </w:r>
    </w:p>
    <w:p>
      <w:pPr>
        <w:pStyle w:val="DMBullet5"/>
        <w:numPr>
          <w:ilvl w:val="1"/>
          <w:numId w:val="10"/>
        </w:numPr>
        <w:tabs>
          <w:tab w:val="clear" w:pos="2160"/>
          <w:tab w:val="num" w:pos="1080"/>
        </w:tabs>
        <w:ind w:left="1080"/>
        <w:rPr>
          <w:rFonts w:ascii="Garamond" w:hAnsi="Garamond"/>
        </w:rPr>
      </w:pPr>
      <w:r>
        <w:rPr>
          <w:rFonts w:ascii="Garamond" w:hAnsi="Garamond"/>
        </w:rPr>
        <w:t xml:space="preserve">Matt Perault, “Section 230 Won’t Protect ChatGPT,” Lawfare blog, Feb. 23, 2023, </w:t>
      </w:r>
      <w:hyperlink r:id="rId15" w:history="1">
        <w:r>
          <w:rPr>
            <w:rStyle w:val="Hyperlink"/>
            <w:rFonts w:ascii="Garamond" w:hAnsi="Garamond"/>
          </w:rPr>
          <w:t>https://www.lawfareblog.com/section-230-wont-protect-chatgpt</w:t>
        </w:r>
      </w:hyperlink>
    </w:p>
    <w:p>
      <w:pPr>
        <w:pStyle w:val="DMBullet5"/>
        <w:numPr>
          <w:ilvl w:val="1"/>
          <w:numId w:val="10"/>
        </w:numPr>
        <w:tabs>
          <w:tab w:val="clear" w:pos="2160"/>
          <w:tab w:val="num" w:pos="1080"/>
        </w:tabs>
        <w:ind w:left="1080"/>
        <w:rPr>
          <w:rFonts w:ascii="Garamond" w:hAnsi="Garamond"/>
        </w:rPr>
      </w:pPr>
      <w:r>
        <w:rPr>
          <w:rFonts w:ascii="Garamond" w:hAnsi="Garamond"/>
        </w:rPr>
        <w:t xml:space="preserve">Jess Miers, “Yes, Section 230 Should Protect ChatGPT and Other Generative AI Tools,” TechDirt blog, Mar. 17, 2023, </w:t>
      </w:r>
      <w:hyperlink r:id="rId16" w:history="1">
        <w:r>
          <w:rPr>
            <w:rStyle w:val="Hyperlink"/>
            <w:rFonts w:ascii="Garamond" w:hAnsi="Garamond"/>
          </w:rPr>
          <w:t>https://www.techdirt.com/2023/03/17/yes-section-230-should-protect-chatgpt-and-others-generative-ai-tools/</w:t>
        </w:r>
      </w:hyperlink>
    </w:p>
    <w:p>
      <w:pPr>
        <w:pStyle w:val="DMBullet5"/>
        <w:numPr>
          <w:ilvl w:val="1"/>
          <w:numId w:val="10"/>
        </w:numPr>
        <w:tabs>
          <w:tab w:val="clear" w:pos="2160"/>
          <w:tab w:val="num" w:pos="1080"/>
        </w:tabs>
        <w:ind w:left="1080"/>
        <w:rPr>
          <w:rFonts w:ascii="Garamond" w:hAnsi="Garamond"/>
        </w:rPr>
      </w:pPr>
      <w:r>
        <w:rPr>
          <w:rFonts w:ascii="Garamond" w:hAnsi="Garamond"/>
        </w:rPr>
        <w:t xml:space="preserve">Sen. Richard Blumenthal’s (D-CT) and Sen. Josh Hawley’s (R-MO) proposed bill “No Section 230 Immunity for Claims and Charges Related to Generative Artificial Intelligence,” announced June 14, 2023, </w:t>
      </w:r>
      <w:hyperlink r:id="rId17" w:history="1">
        <w:r>
          <w:rPr>
            <w:rStyle w:val="Hyperlink"/>
            <w:rFonts w:ascii="Garamond" w:hAnsi="Garamond"/>
          </w:rPr>
          <w:t>https://www.hawley.senate.gov/sites/default/files/2023-06/Hawley-No-Section-230-Immunity-for-AI-Act.pdf</w:t>
        </w:r>
      </w:hyperlink>
    </w:p>
    <w:p>
      <w:pPr>
        <w:pStyle w:val="DMBullet5"/>
        <w:numPr>
          <w:ilvl w:val="1"/>
          <w:numId w:val="10"/>
        </w:numPr>
        <w:tabs>
          <w:tab w:val="clear" w:pos="2160"/>
          <w:tab w:val="num" w:pos="1080"/>
        </w:tabs>
        <w:ind w:left="1080"/>
        <w:rPr>
          <w:rFonts w:ascii="Garamond" w:hAnsi="Garamond"/>
        </w:rPr>
      </w:pPr>
      <w:r>
        <w:rPr>
          <w:rFonts w:ascii="Garamond" w:hAnsi="Garamond"/>
        </w:rPr>
        <w:t xml:space="preserve">Complaint in </w:t>
      </w:r>
      <w:r>
        <w:rPr>
          <w:rFonts w:ascii="Garamond" w:hAnsi="Garamond"/>
          <w:i/>
        </w:rPr>
        <w:t>Walters v. OpenAI, LLC</w:t>
      </w:r>
      <w:r>
        <w:rPr>
          <w:rFonts w:ascii="Garamond" w:hAnsi="Garamond"/>
        </w:rPr>
        <w:t xml:space="preserve">, Super. Ct. of Gwinnett County, Georgia, June 5, 2023, </w:t>
      </w:r>
      <w:hyperlink r:id="rId18" w:history="1">
        <w:r>
          <w:rPr>
            <w:rStyle w:val="Hyperlink"/>
            <w:rFonts w:ascii="Garamond" w:hAnsi="Garamond"/>
          </w:rPr>
          <w:t>https://www.courthousenews.com/wp-content/uploads/2023/06/walters-openai-complaint-gwinnett-county.pdf</w:t>
        </w:r>
      </w:hyperlink>
    </w:p>
    <w:p>
      <w:pPr>
        <w:pStyle w:val="DMBdyTxt"/>
        <w:spacing w:after="0"/>
        <w:rPr>
          <w:rFonts w:ascii="Garamond" w:hAnsi="Garamond"/>
        </w:rPr>
      </w:pPr>
      <w:r>
        <w:rPr>
          <w:rFonts w:ascii="Garamond" w:hAnsi="Garamond"/>
          <w:b/>
          <w:bCs/>
        </w:rPr>
        <w:t>Questions from the audience</w:t>
      </w:r>
    </w:p>
    <w:p>
      <w:pPr>
        <w:pStyle w:val="DMBdyTxt"/>
        <w:spacing w:after="0"/>
        <w:rPr>
          <w:rFonts w:ascii="Garamond" w:hAnsi="Garamond"/>
        </w:rPr>
      </w:pPr>
      <w:r>
        <w:rPr>
          <w:rFonts w:ascii="Garamond" w:hAnsi="Garamond"/>
        </w:rPr>
        <w:t>10 minutes</w:t>
      </w:r>
    </w:p>
    <w:p>
      <w:pPr>
        <w:pStyle w:val="DMBdyTxt"/>
        <w:spacing w:after="0"/>
        <w:rPr>
          <w:rFonts w:ascii="Garamond" w:hAnsi="Garamond"/>
        </w:rPr>
      </w:pPr>
    </w:p>
    <w:sectPr>
      <w:footerReference w:type="defaul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Garamond" w:hAnsi="Garamond"/>
      </w:rPr>
    </w:pPr>
    <w:r>
      <w:tab/>
    </w: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2</w:t>
    </w:r>
    <w:r>
      <w:rPr>
        <w:rFonts w:ascii="Garamond" w:hAnsi="Garamond"/>
        <w:noProof/>
      </w:rPr>
      <w:fldChar w:fldCharType="end"/>
    </w:r>
  </w:p>
  <w:p>
    <w:pPr>
      <w:pStyle w:val="Footer"/>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CC2"/>
    <w:multiLevelType w:val="multilevel"/>
    <w:tmpl w:val="FA205DDE"/>
    <w:name w:val="Outline - Traditional Harvard-Scheme 1"/>
    <w:lvl w:ilvl="0">
      <w:start w:val="1"/>
      <w:numFmt w:val="upperRoman"/>
      <w:pStyle w:val="Heading1"/>
      <w:lvlText w:val="%1."/>
      <w:lvlJc w:val="left"/>
      <w:pPr>
        <w:tabs>
          <w:tab w:val="num" w:pos="720"/>
        </w:tabs>
        <w:ind w:left="720" w:hanging="720"/>
      </w:pPr>
      <w:rPr>
        <w:caps w:val="0"/>
        <w:color w:val="010000"/>
        <w:u w:val="none"/>
      </w:rPr>
    </w:lvl>
    <w:lvl w:ilvl="1">
      <w:start w:val="1"/>
      <w:numFmt w:val="upperLetter"/>
      <w:pStyle w:val="Heading2"/>
      <w:lvlText w:val="%2."/>
      <w:lvlJc w:val="left"/>
      <w:pPr>
        <w:tabs>
          <w:tab w:val="num" w:pos="1440"/>
        </w:tabs>
        <w:ind w:left="1440" w:hanging="720"/>
      </w:pPr>
      <w:rPr>
        <w:caps w:val="0"/>
        <w:color w:val="010000"/>
        <w:u w:val="none"/>
      </w:rPr>
    </w:lvl>
    <w:lvl w:ilvl="2">
      <w:start w:val="1"/>
      <w:numFmt w:val="decimal"/>
      <w:pStyle w:val="Heading3"/>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 w15:restartNumberingAfterBreak="0">
    <w:nsid w:val="19CE1ADF"/>
    <w:multiLevelType w:val="hybridMultilevel"/>
    <w:tmpl w:val="9658234C"/>
    <w:lvl w:ilvl="0" w:tplc="C3C4D02A">
      <w:start w:val="1"/>
      <w:numFmt w:val="bullet"/>
      <w:lvlRestart w:val="0"/>
      <w:pStyle w:val="DMBullet25"/>
      <w:lvlText w:val=""/>
      <w:lvlJc w:val="left"/>
      <w:pPr>
        <w:tabs>
          <w:tab w:val="num" w:pos="360"/>
        </w:tabs>
        <w:ind w:left="108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11E41"/>
    <w:multiLevelType w:val="hybridMultilevel"/>
    <w:tmpl w:val="7ADE1B8C"/>
    <w:lvl w:ilvl="0" w:tplc="1536370E">
      <w:start w:val="1"/>
      <w:numFmt w:val="decimal"/>
      <w:lvlRestart w:val="0"/>
      <w:pStyle w:val="DMListTabbed"/>
      <w:lvlText w:val="%1."/>
      <w:lvlJc w:val="left"/>
      <w:pPr>
        <w:tabs>
          <w:tab w:val="num" w:pos="1440"/>
        </w:tabs>
        <w:ind w:left="0" w:firstLine="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E43200E"/>
    <w:multiLevelType w:val="hybridMultilevel"/>
    <w:tmpl w:val="D2128D1A"/>
    <w:lvl w:ilvl="0" w:tplc="40D0E878">
      <w:start w:val="1"/>
      <w:numFmt w:val="decimal"/>
      <w:lvlRestart w:val="0"/>
      <w:pStyle w:val="DMListTabbedDb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0D0296"/>
    <w:multiLevelType w:val="hybridMultilevel"/>
    <w:tmpl w:val="2E88A3AC"/>
    <w:lvl w:ilvl="0" w:tplc="22848712">
      <w:start w:val="1"/>
      <w:numFmt w:val="decimal"/>
      <w:lvlRestart w:val="0"/>
      <w:pStyle w:val="DMList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885F14"/>
    <w:multiLevelType w:val="hybridMultilevel"/>
    <w:tmpl w:val="6A326E88"/>
    <w:lvl w:ilvl="0" w:tplc="B484CED0">
      <w:start w:val="1"/>
      <w:numFmt w:val="bullet"/>
      <w:lvlRestart w:val="0"/>
      <w:lvlText w:val=""/>
      <w:lvlJc w:val="left"/>
      <w:pPr>
        <w:tabs>
          <w:tab w:val="num" w:pos="720"/>
        </w:tabs>
        <w:ind w:left="720" w:hanging="720"/>
      </w:pPr>
      <w:rPr>
        <w:rFonts w:ascii="Symbol" w:hAnsi="Symbol" w:cs="Times New Roman" w:hint="default"/>
      </w:rPr>
    </w:lvl>
    <w:lvl w:ilvl="1" w:tplc="C65A175E">
      <w:start w:val="1"/>
      <w:numFmt w:val="bullet"/>
      <w:pStyle w:val="DMBulletWrap"/>
      <w:lvlText w:val=""/>
      <w:lvlJc w:val="left"/>
      <w:pPr>
        <w:tabs>
          <w:tab w:val="num" w:pos="720"/>
        </w:tabs>
        <w:ind w:left="0" w:firstLine="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6E971B1"/>
    <w:multiLevelType w:val="singleLevel"/>
    <w:tmpl w:val="3A2ABB08"/>
    <w:lvl w:ilvl="0">
      <w:start w:val="1"/>
      <w:numFmt w:val="bullet"/>
      <w:lvlRestart w:val="0"/>
      <w:pStyle w:val="DMBulletLeft"/>
      <w:lvlText w:val=""/>
      <w:lvlJc w:val="left"/>
      <w:pPr>
        <w:tabs>
          <w:tab w:val="num" w:pos="720"/>
        </w:tabs>
        <w:ind w:left="720" w:hanging="720"/>
      </w:pPr>
      <w:rPr>
        <w:rFonts w:ascii="Symbol" w:hAnsi="Symbol" w:hint="default"/>
      </w:rPr>
    </w:lvl>
  </w:abstractNum>
  <w:num w:numId="1">
    <w:abstractNumId w:val="1"/>
  </w:num>
  <w:num w:numId="2">
    <w:abstractNumId w:val="6"/>
  </w:num>
  <w:num w:numId="3">
    <w:abstractNumId w:val="7"/>
  </w:num>
  <w:num w:numId="4">
    <w:abstractNumId w:val="5"/>
  </w:num>
  <w:num w:numId="5">
    <w:abstractNumId w:val="4"/>
  </w:num>
  <w:num w:numId="6">
    <w:abstractNumId w:val="2"/>
  </w:num>
  <w:num w:numId="7">
    <w:abstractNumId w:val="3"/>
  </w:num>
  <w:num w:numId="8">
    <w:abstractNumId w:val="0"/>
  </w:num>
  <w:num w:numId="9">
    <w:abstractNumId w:val="1"/>
  </w:num>
  <w:num w:numId="10">
    <w:abstractNumId w:val="6"/>
  </w:num>
  <w:num w:numId="11">
    <w:abstractNumId w:val="7"/>
  </w:num>
  <w:num w:numId="12">
    <w:abstractNumId w:val="5"/>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05-14T15:33:39&lt;/LastUpdated&gt;&lt;NumberingSchemeID&gt;154&lt;/NumberingSchemeID&gt;&lt;SortOrder&gt;0&lt;/SortOrder&gt;&lt;Name&gt;Outline - Traditional Harvard&lt;/Name&gt;&lt;NameFrench&gt;Plan – Harvard traditionnel&lt;/NameFrench&gt;&lt;Description&gt;Follows traditional outline numbering format, with first level beginning at the left margin.&lt;/Description&gt;&lt;DescriptionFrench&gt;Respecte le format de numérotation de plan traditionnel, avec le premier numéro apparaissant au niveau de la marge de gauche.&lt;/DescriptionFrench&gt;&lt;FilterID&gt;1&lt;/FilterID&gt;&lt;FilterArray&gt;1&lt;/FilterArray&gt;&lt;DefaultNumberOfLevelsInTOC&gt;3&lt;/DefaultNumberOfLevelsInTOC&gt;&lt;CustomTOCAttached&gt;false&lt;/CustomTOCAttached&gt;&lt;DefaultTOCSchemeID&gt;0&lt;/DefaultTOCSchemeID&gt;&lt;BitMapID&gt;523&lt;/BitMapID&gt;&lt;Hidden&gt;false&lt;/Hidden&gt;&lt;ListIndexUsed&gt;0&lt;/ListIndexUsed&gt;&lt;CapturedDocument&gt;\\pcgserver\PcgStaff\MichelleGuyot\Numbering Assistant\2013\New Scheme\Outline Traditional Harvard.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3"/>
    <w:docVar w:name="DocCategory1" w:val="99999"/>
    <w:docVar w:name="DocCategory2" w:val="00091"/>
    <w:docVar w:name="DocIDAuthor" w:val="False"/>
    <w:docVar w:name="DocIDClientMatter" w:val="False"/>
    <w:docVar w:name="DocIDDate" w:val="False"/>
    <w:docVar w:name="DocIDDateText" w:val="False"/>
    <w:docVar w:name="DocIDLibrary" w:val="True"/>
    <w:docVar w:name="DocIDType" w:val="AllPages"/>
    <w:docVar w:name="DocIDTypist" w:val="False"/>
    <w:docVar w:name="LastSchemeChoice" w:val="Outline - Traditional Harvard"/>
    <w:docVar w:name="LastSchemeUniqueID" w:val="154"/>
    <w:docVar w:name="LegacyDocIDRemoved" w:val="True"/>
    <w:docVar w:name="LegacyNa" w:val="False"/>
    <w:docVar w:name="Option0True" w:val="False"/>
    <w:docVar w:name="Option1True" w:val="False"/>
    <w:docVar w:name="Option2True" w:val="False"/>
    <w:docVar w:name="Option3True" w:val="Fals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C1F56-AF8A-4248-952E-30F9E55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pPr>
      <w:numPr>
        <w:numId w:val="8"/>
      </w:numPr>
      <w:spacing w:after="240"/>
      <w:outlineLvl w:val="0"/>
    </w:pPr>
    <w:rPr>
      <w:rFonts w:eastAsiaTheme="majorEastAsia" w:cs="Times New Roman"/>
      <w:bCs/>
      <w:szCs w:val="28"/>
    </w:rPr>
  </w:style>
  <w:style w:type="paragraph" w:styleId="Heading2">
    <w:name w:val="heading 2"/>
    <w:basedOn w:val="Normal"/>
    <w:next w:val="BodyText"/>
    <w:link w:val="Heading2Char"/>
    <w:uiPriority w:val="9"/>
    <w:semiHidden/>
    <w:unhideWhenUsed/>
    <w:qFormat/>
    <w:pPr>
      <w:numPr>
        <w:ilvl w:val="1"/>
        <w:numId w:val="8"/>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uiPriority w:val="9"/>
    <w:semiHidden/>
    <w:unhideWhenUsed/>
    <w:qFormat/>
    <w:pPr>
      <w:numPr>
        <w:ilvl w:val="2"/>
        <w:numId w:val="8"/>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uiPriority w:val="9"/>
    <w:semiHidden/>
    <w:unhideWhenUsed/>
    <w:qFormat/>
    <w:pPr>
      <w:numPr>
        <w:ilvl w:val="3"/>
        <w:numId w:val="8"/>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uiPriority w:val="9"/>
    <w:semiHidden/>
    <w:unhideWhenUsed/>
    <w:qFormat/>
    <w:pPr>
      <w:numPr>
        <w:ilvl w:val="4"/>
        <w:numId w:val="8"/>
      </w:numPr>
      <w:tabs>
        <w:tab w:val="left" w:pos="3600"/>
      </w:tabs>
      <w:spacing w:after="240"/>
      <w:outlineLvl w:val="4"/>
    </w:pPr>
    <w:rPr>
      <w:rFonts w:eastAsiaTheme="majorEastAsia" w:cs="Times New Roman"/>
    </w:rPr>
  </w:style>
  <w:style w:type="paragraph" w:styleId="Heading6">
    <w:name w:val="heading 6"/>
    <w:basedOn w:val="Normal"/>
    <w:next w:val="BodyText"/>
    <w:link w:val="Heading6Char"/>
    <w:uiPriority w:val="9"/>
    <w:semiHidden/>
    <w:unhideWhenUsed/>
    <w:qFormat/>
    <w:pPr>
      <w:numPr>
        <w:ilvl w:val="5"/>
        <w:numId w:val="8"/>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pPr>
      <w:numPr>
        <w:ilvl w:val="6"/>
        <w:numId w:val="8"/>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uiPriority w:val="9"/>
    <w:semiHidden/>
    <w:unhideWhenUsed/>
    <w:qFormat/>
    <w:pPr>
      <w:numPr>
        <w:ilvl w:val="7"/>
        <w:numId w:val="8"/>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pPr>
      <w:numPr>
        <w:ilvl w:val="8"/>
        <w:numId w:val="8"/>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qFormat/>
    <w:pPr>
      <w:spacing w:after="240"/>
    </w:pPr>
    <w:rPr>
      <w:rFonts w:eastAsia="Times New Roman" w:cs="Times New Roman"/>
      <w:szCs w:val="20"/>
    </w:rPr>
  </w:style>
  <w:style w:type="paragraph" w:customStyle="1" w:styleId="DMBdyTxt5">
    <w:name w:val="DM BdyTxt .5"/>
    <w:basedOn w:val="Normal"/>
    <w:qFormat/>
    <w:pPr>
      <w:spacing w:after="240"/>
      <w:ind w:firstLine="720"/>
    </w:pPr>
    <w:rPr>
      <w:rFonts w:eastAsia="Times New Roman" w:cs="Times New Roman"/>
      <w:szCs w:val="20"/>
    </w:rPr>
  </w:style>
  <w:style w:type="paragraph" w:customStyle="1" w:styleId="DMBdyTxt1">
    <w:name w:val="DM BdyTxt 1"/>
    <w:basedOn w:val="Normal"/>
    <w:qFormat/>
    <w:pPr>
      <w:spacing w:after="240"/>
      <w:ind w:firstLine="1440"/>
    </w:pPr>
    <w:rPr>
      <w:rFonts w:eastAsia="Times New Roman" w:cs="Times New Roman"/>
      <w:szCs w:val="20"/>
    </w:rPr>
  </w:style>
  <w:style w:type="paragraph" w:customStyle="1" w:styleId="DMBdyTxtDbl">
    <w:name w:val="DM BdyTxt Dbl"/>
    <w:basedOn w:val="Normal"/>
    <w:qFormat/>
    <w:pPr>
      <w:spacing w:line="480" w:lineRule="auto"/>
    </w:pPr>
    <w:rPr>
      <w:rFonts w:eastAsia="Times New Roman" w:cs="Times New Roman"/>
      <w:szCs w:val="20"/>
    </w:rPr>
  </w:style>
  <w:style w:type="paragraph" w:customStyle="1" w:styleId="DMBdyTxtDbl5">
    <w:name w:val="DM BdyTxt Dbl .5"/>
    <w:basedOn w:val="Normal"/>
    <w:qFormat/>
    <w:pPr>
      <w:spacing w:line="480" w:lineRule="auto"/>
      <w:ind w:firstLine="720"/>
    </w:pPr>
    <w:rPr>
      <w:rFonts w:eastAsia="Times New Roman" w:cs="Times New Roman"/>
      <w:szCs w:val="20"/>
    </w:rPr>
  </w:style>
  <w:style w:type="paragraph" w:customStyle="1" w:styleId="DMBdyTxtDbl1">
    <w:name w:val="DM BdyTxt Dbl 1"/>
    <w:basedOn w:val="Normal"/>
    <w:qFormat/>
    <w:pPr>
      <w:spacing w:line="480" w:lineRule="auto"/>
      <w:ind w:firstLine="1440"/>
    </w:pPr>
    <w:rPr>
      <w:rFonts w:eastAsia="Times New Roman" w:cs="Times New Roman"/>
      <w:szCs w:val="20"/>
    </w:rPr>
  </w:style>
  <w:style w:type="paragraph" w:customStyle="1" w:styleId="DMBdyTxtJust">
    <w:name w:val="DM BdyTxt Just"/>
    <w:basedOn w:val="Normal"/>
    <w:pPr>
      <w:spacing w:after="240"/>
      <w:ind w:firstLine="720"/>
      <w:jc w:val="both"/>
    </w:pPr>
    <w:rPr>
      <w:rFonts w:eastAsia="Times New Roman" w:cs="Times New Roman"/>
      <w:szCs w:val="24"/>
    </w:rPr>
  </w:style>
  <w:style w:type="paragraph" w:customStyle="1" w:styleId="DMBullet25">
    <w:name w:val="DM Bullet .25"/>
    <w:basedOn w:val="Normal"/>
    <w:qFormat/>
    <w:pPr>
      <w:numPr>
        <w:numId w:val="9"/>
      </w:numPr>
      <w:spacing w:after="240"/>
      <w:contextualSpacing/>
    </w:pPr>
    <w:rPr>
      <w:rFonts w:eastAsia="Times New Roman" w:cs="Times New Roman"/>
      <w:szCs w:val="20"/>
    </w:rPr>
  </w:style>
  <w:style w:type="paragraph" w:customStyle="1" w:styleId="DMBullet5">
    <w:name w:val="DM Bullet .5"/>
    <w:basedOn w:val="Normal"/>
    <w:pPr>
      <w:numPr>
        <w:numId w:val="10"/>
      </w:numPr>
      <w:spacing w:after="240"/>
      <w:contextualSpacing/>
    </w:pPr>
    <w:rPr>
      <w:rFonts w:eastAsia="Times New Roman" w:cs="Times New Roman"/>
      <w:szCs w:val="24"/>
    </w:rPr>
  </w:style>
  <w:style w:type="paragraph" w:customStyle="1" w:styleId="DMBulletLeft">
    <w:name w:val="DM Bullet Left"/>
    <w:basedOn w:val="Normal"/>
    <w:qFormat/>
    <w:pPr>
      <w:numPr>
        <w:numId w:val="11"/>
      </w:numPr>
      <w:spacing w:after="240"/>
    </w:pPr>
    <w:rPr>
      <w:rFonts w:eastAsia="Times New Roman" w:cs="Times New Roman"/>
      <w:szCs w:val="20"/>
    </w:rPr>
  </w:style>
  <w:style w:type="paragraph" w:customStyle="1" w:styleId="DMBulletWrap">
    <w:name w:val="DM Bullet Wrap"/>
    <w:basedOn w:val="Normal"/>
    <w:pPr>
      <w:numPr>
        <w:ilvl w:val="1"/>
        <w:numId w:val="12"/>
      </w:numPr>
    </w:pPr>
    <w:rPr>
      <w:rFonts w:eastAsia="Times New Roman" w:cs="Times New Roman"/>
      <w:szCs w:val="24"/>
    </w:rPr>
  </w:style>
  <w:style w:type="paragraph" w:customStyle="1" w:styleId="DMIndent5DblJust">
    <w:name w:val="DM Indent .5 Dbl Just"/>
    <w:aliases w:val="I5DJ"/>
    <w:basedOn w:val="Normal"/>
    <w:pPr>
      <w:spacing w:line="480" w:lineRule="exact"/>
      <w:ind w:firstLine="720"/>
      <w:jc w:val="both"/>
    </w:pPr>
    <w:rPr>
      <w:rFonts w:eastAsia="Times New Roman" w:cs="Times New Roman"/>
      <w:szCs w:val="24"/>
    </w:rPr>
  </w:style>
  <w:style w:type="paragraph" w:customStyle="1" w:styleId="DMLeftInd5">
    <w:name w:val="DM Left Ind .5"/>
    <w:basedOn w:val="Normal"/>
    <w:qFormat/>
    <w:pPr>
      <w:spacing w:after="240"/>
      <w:ind w:left="720"/>
    </w:pPr>
    <w:rPr>
      <w:rFonts w:eastAsia="Times New Roman" w:cs="Times New Roman"/>
      <w:szCs w:val="20"/>
    </w:rPr>
  </w:style>
  <w:style w:type="paragraph" w:customStyle="1" w:styleId="DMLeftInd1">
    <w:name w:val="DM Left Ind 1"/>
    <w:basedOn w:val="Normal"/>
    <w:qFormat/>
    <w:pPr>
      <w:spacing w:after="240"/>
      <w:ind w:left="1440"/>
    </w:pPr>
    <w:rPr>
      <w:rFonts w:eastAsia="Times New Roman" w:cs="Times New Roman"/>
      <w:szCs w:val="24"/>
    </w:rPr>
  </w:style>
  <w:style w:type="paragraph" w:customStyle="1" w:styleId="DMLeftInd15">
    <w:name w:val="DM Left Ind 1.5"/>
    <w:basedOn w:val="Normal"/>
    <w:pPr>
      <w:spacing w:after="240"/>
      <w:ind w:left="2160"/>
    </w:pPr>
    <w:rPr>
      <w:rFonts w:eastAsia="Times New Roman" w:cs="Times New Roman"/>
      <w:szCs w:val="20"/>
    </w:rPr>
  </w:style>
  <w:style w:type="paragraph" w:customStyle="1" w:styleId="DMList1">
    <w:name w:val="DM List 1"/>
    <w:aliases w:val="2,3"/>
    <w:basedOn w:val="Normal"/>
    <w:pPr>
      <w:numPr>
        <w:numId w:val="13"/>
      </w:numPr>
      <w:spacing w:after="240"/>
    </w:pPr>
    <w:rPr>
      <w:rFonts w:eastAsia="Times New Roman" w:cs="Times New Roman"/>
      <w:szCs w:val="24"/>
    </w:rPr>
  </w:style>
  <w:style w:type="paragraph" w:customStyle="1" w:styleId="DMListTabbed">
    <w:name w:val="DM List Tabbed"/>
    <w:basedOn w:val="Normal"/>
    <w:qFormat/>
    <w:pPr>
      <w:numPr>
        <w:numId w:val="14"/>
      </w:numPr>
      <w:spacing w:after="240"/>
      <w:contextualSpacing/>
    </w:pPr>
    <w:rPr>
      <w:rFonts w:eastAsia="Times New Roman" w:cs="Times New Roman"/>
      <w:szCs w:val="24"/>
    </w:rPr>
  </w:style>
  <w:style w:type="paragraph" w:customStyle="1" w:styleId="DMListTabbedDbl">
    <w:name w:val="DM List Tabbed Dbl"/>
    <w:basedOn w:val="Normal"/>
    <w:qFormat/>
    <w:pPr>
      <w:numPr>
        <w:numId w:val="15"/>
      </w:numPr>
      <w:spacing w:line="480" w:lineRule="auto"/>
    </w:pPr>
    <w:rPr>
      <w:rFonts w:eastAsia="Times New Roman" w:cs="Times New Roman"/>
      <w:szCs w:val="20"/>
    </w:rPr>
  </w:style>
  <w:style w:type="paragraph" w:customStyle="1" w:styleId="DMNormal">
    <w:name w:val="DM Normal"/>
    <w:basedOn w:val="Normal"/>
    <w:pPr>
      <w:spacing w:after="240"/>
    </w:pPr>
    <w:rPr>
      <w:rFonts w:eastAsia="Times New Roman" w:cs="Times New Roman"/>
      <w:szCs w:val="20"/>
    </w:rPr>
  </w:style>
  <w:style w:type="paragraph" w:customStyle="1" w:styleId="DMPlain">
    <w:name w:val="DM Plain"/>
    <w:basedOn w:val="Normal"/>
    <w:rPr>
      <w:rFonts w:eastAsia="Times New Roman" w:cs="Times New Roman"/>
      <w:szCs w:val="24"/>
    </w:rPr>
  </w:style>
  <w:style w:type="paragraph" w:customStyle="1" w:styleId="DMSignature">
    <w:name w:val="DM Signature"/>
    <w:basedOn w:val="Normal"/>
    <w:pPr>
      <w:ind w:left="5040"/>
    </w:pPr>
    <w:rPr>
      <w:rFonts w:eastAsia="Times New Roman" w:cs="Times New Roman"/>
      <w:szCs w:val="24"/>
    </w:rPr>
  </w:style>
  <w:style w:type="paragraph" w:customStyle="1" w:styleId="DMSubtitle">
    <w:name w:val="DM Subtitle"/>
    <w:basedOn w:val="Normal"/>
    <w:pPr>
      <w:spacing w:after="240"/>
      <w:jc w:val="center"/>
    </w:pPr>
    <w:rPr>
      <w:rFonts w:eastAsia="Times New Roman" w:cs="Times New Roman"/>
      <w:szCs w:val="20"/>
    </w:rPr>
  </w:style>
  <w:style w:type="paragraph" w:customStyle="1" w:styleId="DMTitle">
    <w:name w:val="DM Title"/>
    <w:basedOn w:val="Normal"/>
    <w:next w:val="DMBdyTxt5"/>
    <w:qFormat/>
    <w:pPr>
      <w:keepNext/>
      <w:spacing w:after="240"/>
      <w:jc w:val="center"/>
      <w:outlineLvl w:val="0"/>
    </w:pPr>
    <w:rPr>
      <w:rFonts w:eastAsia="Times New Roman" w:cs="Times New Roman"/>
      <w:szCs w:val="24"/>
    </w:rPr>
  </w:style>
  <w:style w:type="paragraph" w:customStyle="1" w:styleId="DMTitleB">
    <w:name w:val="DM Title B"/>
    <w:basedOn w:val="Normal"/>
    <w:next w:val="DMBdyTxt5"/>
    <w:qFormat/>
    <w:pPr>
      <w:keepNext/>
      <w:spacing w:after="240"/>
      <w:jc w:val="center"/>
      <w:outlineLvl w:val="0"/>
    </w:pPr>
    <w:rPr>
      <w:rFonts w:eastAsia="Times New Roman" w:cs="Times New Roman"/>
      <w:b/>
      <w:szCs w:val="20"/>
    </w:rPr>
  </w:style>
  <w:style w:type="paragraph" w:customStyle="1" w:styleId="DMTitleBU">
    <w:name w:val="DM Title B U"/>
    <w:basedOn w:val="Normal"/>
    <w:next w:val="DMBdyTxt5"/>
    <w:qFormat/>
    <w:pPr>
      <w:keepNext/>
      <w:spacing w:after="240"/>
      <w:jc w:val="center"/>
      <w:outlineLvl w:val="0"/>
    </w:pPr>
    <w:rPr>
      <w:rFonts w:eastAsia="Times New Roman" w:cs="Times New Roman"/>
      <w:b/>
      <w:szCs w:val="24"/>
      <w:u w:val="single"/>
    </w:rPr>
  </w:style>
  <w:style w:type="paragraph" w:customStyle="1" w:styleId="DMTitleBUAllCaps">
    <w:name w:val="DM Title B U All Caps"/>
    <w:basedOn w:val="Normal"/>
    <w:next w:val="DMBdyTxt5"/>
    <w:pPr>
      <w:keepNext/>
      <w:spacing w:after="240"/>
      <w:jc w:val="center"/>
      <w:outlineLvl w:val="0"/>
    </w:pPr>
    <w:rPr>
      <w:rFonts w:eastAsia="Times New Roman" w:cs="Times New Roman"/>
      <w:b/>
      <w:caps/>
      <w:szCs w:val="24"/>
      <w:u w:val="single"/>
    </w:rPr>
  </w:style>
  <w:style w:type="paragraph" w:customStyle="1" w:styleId="DMTitleLeftB">
    <w:name w:val="DM Title Left B"/>
    <w:basedOn w:val="Normal"/>
    <w:next w:val="DMBdyTxt"/>
    <w:qFormat/>
    <w:pPr>
      <w:keepNext/>
      <w:spacing w:after="240"/>
      <w:outlineLvl w:val="0"/>
    </w:pPr>
    <w:rPr>
      <w:rFonts w:eastAsia="Times New Roman" w:cs="Times New Roman"/>
      <w:b/>
      <w:szCs w:val="20"/>
    </w:rPr>
  </w:style>
  <w:style w:type="character" w:customStyle="1" w:styleId="DocID">
    <w:name w:val="DocID"/>
    <w:basedOn w:val="DefaultParagraphFont"/>
    <w:qFormat/>
    <w:rPr>
      <w:rFonts w:ascii="Times New Roman" w:hAnsi="Times New Roman"/>
      <w:sz w:val="14"/>
    </w:rPr>
  </w:style>
  <w:style w:type="paragraph" w:customStyle="1" w:styleId="EndnoteContinue">
    <w:name w:val="Endnote Continue"/>
    <w:basedOn w:val="EndnoteText"/>
    <w:pPr>
      <w:spacing w:after="240"/>
      <w:ind w:left="720"/>
    </w:pPr>
    <w:rPr>
      <w:rFonts w:eastAsia="Times New Roman" w:cs="Times New Roman"/>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Title">
    <w:name w:val="Title"/>
    <w:basedOn w:val="Normal"/>
    <w:link w:val="TitleChar"/>
    <w:qFormat/>
    <w:pPr>
      <w:spacing w:after="480"/>
      <w:jc w:val="center"/>
      <w:outlineLvl w:val="0"/>
    </w:pPr>
    <w:rPr>
      <w:rFonts w:eastAsia="Times New Roman" w:cs="Times New Roman"/>
      <w:b/>
      <w:caps/>
      <w:kern w:val="28"/>
      <w:szCs w:val="20"/>
      <w:u w:val="single"/>
    </w:rPr>
  </w:style>
  <w:style w:type="paragraph" w:styleId="FootnoteText">
    <w:name w:val="footnote text"/>
    <w:aliases w:val="DM Footnote Text"/>
    <w:basedOn w:val="Normal"/>
    <w:next w:val="Normal"/>
    <w:link w:val="FootnoteTextChar"/>
    <w:pPr>
      <w:spacing w:after="240"/>
      <w:ind w:firstLine="720"/>
    </w:pPr>
    <w:rPr>
      <w:rFonts w:eastAsia="Times New Roman" w:cs="Times New Roman"/>
      <w:sz w:val="20"/>
      <w:szCs w:val="20"/>
    </w:rPr>
  </w:style>
  <w:style w:type="character" w:customStyle="1" w:styleId="FootnoteTextChar">
    <w:name w:val="Footnote Text Char"/>
    <w:aliases w:val="DM Footnote Text Char"/>
    <w:basedOn w:val="DefaultParagraphFont"/>
    <w:link w:val="FootnoteText"/>
    <w:rPr>
      <w:rFonts w:ascii="Times New Roman" w:eastAsia="Times New Roman" w:hAnsi="Times New Roman" w:cs="Times New Roman"/>
      <w:sz w:val="20"/>
      <w:szCs w:val="20"/>
    </w:rPr>
  </w:style>
  <w:style w:type="paragraph" w:customStyle="1" w:styleId="FootnoteContinue">
    <w:name w:val="Footnote Continue"/>
    <w:basedOn w:val="FootnoteText"/>
    <w:pPr>
      <w:ind w:firstLine="0"/>
    </w:pPr>
  </w:style>
  <w:style w:type="character" w:customStyle="1" w:styleId="TitleChar">
    <w:name w:val="Title Char"/>
    <w:basedOn w:val="DefaultParagraphFont"/>
    <w:link w:val="Title"/>
    <w:rPr>
      <w:rFonts w:ascii="Times New Roman" w:eastAsia="Times New Roman" w:hAnsi="Times New Roman" w:cs="Times New Roman"/>
      <w:b/>
      <w:caps/>
      <w:kern w:val="28"/>
      <w:sz w:val="24"/>
      <w:szCs w:val="20"/>
      <w:u w:val="single"/>
    </w:rPr>
  </w:style>
  <w:style w:type="paragraph" w:styleId="Closing">
    <w:name w:val="Closing"/>
    <w:basedOn w:val="Normal"/>
    <w:link w:val="ClosingChar"/>
    <w:pPr>
      <w:spacing w:after="720"/>
      <w:ind w:left="5040"/>
    </w:pPr>
    <w:rPr>
      <w:rFonts w:eastAsia="Times New Roman" w:cs="Times New Roman"/>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Signature">
    <w:name w:val="Signature"/>
    <w:basedOn w:val="Normal"/>
    <w:next w:val="Normal"/>
    <w:link w:val="SignatureChar"/>
    <w:pPr>
      <w:spacing w:after="240"/>
      <w:ind w:left="5040"/>
    </w:pPr>
    <w:rPr>
      <w:rFonts w:eastAsia="Times New Roman" w:cs="Times New Roman"/>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TOC1">
    <w:name w:val="toc 1"/>
    <w:basedOn w:val="Normal"/>
    <w:next w:val="Normal"/>
    <w:autoRedefine/>
    <w:semiHidden/>
    <w:pPr>
      <w:tabs>
        <w:tab w:val="right" w:leader="dot" w:pos="9360"/>
      </w:tabs>
      <w:spacing w:after="240"/>
      <w:ind w:left="720" w:right="720" w:hanging="720"/>
    </w:pPr>
    <w:rPr>
      <w:rFonts w:eastAsia="Times New Roman" w:cs="Times New Roman"/>
      <w:szCs w:val="24"/>
    </w:rPr>
  </w:style>
  <w:style w:type="paragraph" w:styleId="TOC2">
    <w:name w:val="toc 2"/>
    <w:basedOn w:val="Normal"/>
    <w:next w:val="Normal"/>
    <w:autoRedefine/>
    <w:semiHidden/>
    <w:pPr>
      <w:tabs>
        <w:tab w:val="right" w:leader="dot" w:pos="9350"/>
      </w:tabs>
      <w:spacing w:after="240"/>
      <w:ind w:left="1440" w:right="720" w:hanging="720"/>
    </w:pPr>
    <w:rPr>
      <w:rFonts w:eastAsia="Times New Roman" w:cs="Times New Roman"/>
      <w:szCs w:val="24"/>
    </w:rPr>
  </w:style>
  <w:style w:type="paragraph" w:styleId="TOC3">
    <w:name w:val="toc 3"/>
    <w:basedOn w:val="Normal"/>
    <w:next w:val="Normal"/>
    <w:autoRedefine/>
    <w:semiHidden/>
    <w:pPr>
      <w:tabs>
        <w:tab w:val="right" w:leader="dot" w:pos="9350"/>
      </w:tabs>
      <w:spacing w:after="240"/>
      <w:ind w:left="2160" w:hanging="720"/>
    </w:pPr>
    <w:rPr>
      <w:rFonts w:eastAsia="Times New Roman" w:cs="Times New Roman"/>
      <w:szCs w:val="24"/>
    </w:rPr>
  </w:style>
  <w:style w:type="paragraph" w:styleId="TOC4">
    <w:name w:val="toc 4"/>
    <w:basedOn w:val="Normal"/>
    <w:next w:val="Normal"/>
    <w:autoRedefine/>
    <w:semiHidden/>
    <w:pPr>
      <w:tabs>
        <w:tab w:val="right" w:leader="dot" w:pos="9360"/>
      </w:tabs>
      <w:spacing w:after="240"/>
      <w:ind w:left="2880" w:right="720" w:hanging="720"/>
    </w:pPr>
    <w:rPr>
      <w:rFonts w:eastAsia="Times New Roman" w:cs="Times New Roman"/>
      <w:szCs w:val="24"/>
    </w:rPr>
  </w:style>
  <w:style w:type="paragraph" w:styleId="TOC5">
    <w:name w:val="toc 5"/>
    <w:basedOn w:val="Normal"/>
    <w:next w:val="Normal"/>
    <w:autoRedefine/>
    <w:semiHidden/>
    <w:pPr>
      <w:tabs>
        <w:tab w:val="right" w:leader="dot" w:pos="9360"/>
      </w:tabs>
      <w:spacing w:after="240"/>
      <w:ind w:left="3600" w:right="720" w:hanging="720"/>
    </w:pPr>
    <w:rPr>
      <w:rFonts w:eastAsia="Times New Roman" w:cs="Times New Roman"/>
      <w:szCs w:val="24"/>
    </w:rPr>
  </w:style>
  <w:style w:type="paragraph" w:styleId="TOC6">
    <w:name w:val="toc 6"/>
    <w:basedOn w:val="Normal"/>
    <w:next w:val="Normal"/>
    <w:autoRedefine/>
    <w:semiHidden/>
    <w:pPr>
      <w:tabs>
        <w:tab w:val="right" w:leader="dot" w:pos="9360"/>
      </w:tabs>
      <w:spacing w:after="240"/>
      <w:ind w:left="4320" w:right="720" w:hanging="720"/>
    </w:pPr>
    <w:rPr>
      <w:rFonts w:eastAsia="Times New Roman" w:cs="Times New Roman"/>
      <w:szCs w:val="24"/>
    </w:rPr>
  </w:style>
  <w:style w:type="paragraph" w:styleId="TOC7">
    <w:name w:val="toc 7"/>
    <w:basedOn w:val="Normal"/>
    <w:next w:val="Normal"/>
    <w:autoRedefine/>
    <w:semiHidden/>
    <w:pPr>
      <w:tabs>
        <w:tab w:val="right" w:leader="dot" w:pos="9360"/>
      </w:tabs>
      <w:spacing w:after="240"/>
      <w:ind w:left="5040" w:right="720" w:hanging="720"/>
    </w:pPr>
    <w:rPr>
      <w:rFonts w:eastAsia="Times New Roman" w:cs="Times New Roman"/>
      <w:szCs w:val="24"/>
    </w:rPr>
  </w:style>
  <w:style w:type="paragraph" w:styleId="TOC8">
    <w:name w:val="toc 8"/>
    <w:basedOn w:val="Normal"/>
    <w:next w:val="Normal"/>
    <w:autoRedefine/>
    <w:semiHidden/>
    <w:pPr>
      <w:tabs>
        <w:tab w:val="left" w:pos="2067"/>
        <w:tab w:val="right" w:leader="dot" w:pos="9350"/>
      </w:tabs>
      <w:spacing w:after="240"/>
      <w:ind w:left="5040" w:right="360" w:hanging="720"/>
    </w:pPr>
    <w:rPr>
      <w:rFonts w:eastAsia="Times New Roman" w:cs="Times New Roman"/>
      <w:szCs w:val="24"/>
    </w:rPr>
  </w:style>
  <w:style w:type="paragraph" w:styleId="TOC9">
    <w:name w:val="toc 9"/>
    <w:basedOn w:val="Normal"/>
    <w:next w:val="Normal"/>
    <w:autoRedefine/>
    <w:semiHidden/>
    <w:pPr>
      <w:tabs>
        <w:tab w:val="right" w:leader="dot" w:pos="9350"/>
      </w:tabs>
      <w:spacing w:after="240"/>
      <w:ind w:left="5040" w:right="360" w:hanging="720"/>
    </w:pPr>
    <w:rPr>
      <w:rFonts w:eastAsia="Times New Roman" w:cs="Times New Roman"/>
      <w:szCs w:val="24"/>
    </w:rPr>
  </w:style>
  <w:style w:type="character" w:customStyle="1" w:styleId="Heading1Char">
    <w:name w:val="Heading 1 Char"/>
    <w:basedOn w:val="DefaultParagraphFont"/>
    <w:link w:val="Heading1"/>
    <w:uiPriority w:val="9"/>
    <w:rPr>
      <w:rFonts w:ascii="Times New Roman" w:eastAsiaTheme="majorEastAsia" w:hAnsi="Times New Roman" w:cs="Times New Roman"/>
      <w:bCs/>
      <w:sz w:val="24"/>
      <w:szCs w:val="28"/>
    </w:rPr>
  </w:style>
  <w:style w:type="paragraph" w:styleId="TOCHeading">
    <w:name w:val="TOC Heading"/>
    <w:basedOn w:val="Normal"/>
    <w:qFormat/>
    <w:pPr>
      <w:spacing w:after="240"/>
      <w:jc w:val="center"/>
    </w:pPr>
    <w:rPr>
      <w:rFonts w:eastAsia="Times New Roman" w:cs="Times New Roman"/>
      <w:b/>
      <w:szCs w:val="20"/>
    </w:rPr>
  </w:style>
  <w:style w:type="paragraph" w:customStyle="1" w:styleId="TOCPage">
    <w:name w:val="TOC Page"/>
    <w:basedOn w:val="Normal"/>
    <w:pPr>
      <w:spacing w:after="240"/>
      <w:jc w:val="right"/>
    </w:pPr>
    <w:rPr>
      <w:rFonts w:eastAsia="Times New Roman" w:cs="Times New Roman"/>
      <w:b/>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semiHidden/>
    <w:rPr>
      <w:rFonts w:ascii="Times New Roman" w:eastAsiaTheme="majorEastAsia" w:hAnsi="Times New Roman" w:cs="Times New Roman"/>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imes New Roman"/>
      <w:iCs/>
      <w:sz w:val="24"/>
      <w:szCs w:val="20"/>
    </w:rPr>
  </w:style>
  <w:style w:type="paragraph" w:customStyle="1" w:styleId="LtrOffices2">
    <w:name w:val="LtrOffices2"/>
    <w:basedOn w:val="Normal"/>
    <w:qFormat/>
    <w:pPr>
      <w:spacing w:line="160" w:lineRule="exact"/>
      <w:jc w:val="center"/>
    </w:pPr>
    <w:rPr>
      <w:rFonts w:eastAsia="Times New Roman" w:cs="Times New Roman"/>
      <w:i/>
      <w:sz w:val="10"/>
      <w:szCs w:val="10"/>
    </w:rPr>
  </w:style>
  <w:style w:type="paragraph" w:customStyle="1" w:styleId="AuthorInfoLetterhead">
    <w:name w:val="AuthorInfoLetterhead"/>
    <w:basedOn w:val="Normal"/>
    <w:rPr>
      <w:rFonts w:eastAsia="Times New Roman" w:cs="Times New Roman"/>
      <w:sz w:val="16"/>
      <w:szCs w:val="20"/>
    </w:rPr>
  </w:style>
  <w:style w:type="paragraph" w:customStyle="1" w:styleId="AuthorNameLetterhead">
    <w:name w:val="AuthorNameLetterhead"/>
    <w:basedOn w:val="Normal"/>
    <w:pPr>
      <w:spacing w:before="40"/>
    </w:pPr>
    <w:rPr>
      <w:rFonts w:eastAsia="Times New Roman" w:cs="Times New Roman"/>
      <w:caps/>
      <w:sz w:val="16"/>
      <w:szCs w:val="20"/>
    </w:rPr>
  </w:style>
  <w:style w:type="paragraph" w:customStyle="1" w:styleId="url">
    <w:name w:val="url"/>
    <w:basedOn w:val="AuthorInfoLetterhead"/>
    <w:semiHidden/>
    <w:rPr>
      <w:i/>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hAnsi="Times New Roman"/>
      <w:sz w:val="24"/>
    </w:rPr>
  </w:style>
  <w:style w:type="paragraph" w:customStyle="1" w:styleId="DMBdyTxt15">
    <w:name w:val="DM BdyTxt 1.5"/>
    <w:basedOn w:val="Normal"/>
    <w:pPr>
      <w:spacing w:after="240"/>
      <w:ind w:firstLine="2160"/>
    </w:pPr>
  </w:style>
  <w:style w:type="paragraph" w:customStyle="1" w:styleId="DMBdyTxtDbl15">
    <w:name w:val="DM BdyTxt Dbl 1.5"/>
    <w:basedOn w:val="Normal"/>
    <w:pPr>
      <w:spacing w:line="480" w:lineRule="auto"/>
      <w:ind w:firstLine="2160"/>
    </w:pPr>
  </w:style>
  <w:style w:type="paragraph" w:customStyle="1" w:styleId="DMBlockQuote5">
    <w:name w:val="DM Block Quote .5"/>
    <w:basedOn w:val="Normal"/>
    <w:qFormat/>
    <w:pPr>
      <w:spacing w:after="240"/>
      <w:ind w:left="720" w:right="720"/>
      <w:jc w:val="both"/>
    </w:pPr>
    <w:rPr>
      <w:rFonts w:eastAsia="Times New Roman" w:cs="Times New Roman"/>
      <w:szCs w:val="20"/>
    </w:rPr>
  </w:style>
  <w:style w:type="paragraph" w:customStyle="1" w:styleId="DMBlockQuote1">
    <w:name w:val="DM Block Quote 1"/>
    <w:basedOn w:val="Normal"/>
    <w:qFormat/>
    <w:pPr>
      <w:spacing w:after="240"/>
      <w:ind w:left="1440" w:right="1440"/>
      <w:jc w:val="both"/>
    </w:pPr>
    <w:rPr>
      <w:rFonts w:eastAsia="Times New Roman" w:cs="Times New Roman"/>
      <w:szCs w:val="20"/>
    </w:rPr>
  </w:style>
  <w:style w:type="paragraph" w:customStyle="1" w:styleId="DMCenter">
    <w:name w:val="DM Center"/>
    <w:basedOn w:val="Normal"/>
    <w:pPr>
      <w:spacing w:after="240"/>
      <w:jc w:val="center"/>
    </w:pPr>
    <w:rPr>
      <w:rFonts w:eastAsia="Times New Roman" w:cs="Times New Roman"/>
      <w:szCs w:val="20"/>
    </w:rPr>
  </w:style>
  <w:style w:type="paragraph" w:customStyle="1" w:styleId="DMEndnoteContinue">
    <w:name w:val="DM Endnote Continue"/>
    <w:basedOn w:val="EndnoteText"/>
    <w:pPr>
      <w:spacing w:after="240"/>
      <w:ind w:left="720"/>
    </w:pPr>
    <w:rPr>
      <w:rFonts w:eastAsia="Times New Roman" w:cs="Times New Roman"/>
      <w:sz w:val="24"/>
      <w:szCs w:val="24"/>
    </w:rPr>
  </w:style>
  <w:style w:type="paragraph" w:customStyle="1" w:styleId="DMFootnoteContinue">
    <w:name w:val="DM Footnote Continue"/>
    <w:basedOn w:val="FootnoteText"/>
  </w:style>
  <w:style w:type="paragraph" w:customStyle="1" w:styleId="DMHanging">
    <w:name w:val="DM Hanging"/>
    <w:basedOn w:val="Normal"/>
    <w:pPr>
      <w:spacing w:after="240"/>
      <w:ind w:left="720" w:hanging="720"/>
    </w:pPr>
  </w:style>
  <w:style w:type="paragraph" w:customStyle="1" w:styleId="DMHanging5">
    <w:name w:val="DM Hanging .5"/>
    <w:basedOn w:val="Normal"/>
    <w:pPr>
      <w:spacing w:after="240"/>
      <w:ind w:left="1440" w:hanging="720"/>
    </w:pPr>
  </w:style>
  <w:style w:type="paragraph" w:customStyle="1" w:styleId="DMHanging1">
    <w:name w:val="DM Hanging 1"/>
    <w:basedOn w:val="Normal"/>
    <w:pPr>
      <w:spacing w:after="240"/>
      <w:ind w:left="2160" w:hanging="720"/>
    </w:pPr>
  </w:style>
  <w:style w:type="paragraph" w:customStyle="1" w:styleId="DMHanging15">
    <w:name w:val="DM Hanging 1.5"/>
    <w:basedOn w:val="Normal"/>
    <w:pPr>
      <w:spacing w:after="240"/>
      <w:ind w:left="2880" w:hanging="720"/>
    </w:pPr>
  </w:style>
  <w:style w:type="paragraph" w:customStyle="1" w:styleId="DMLeftInd2">
    <w:name w:val="DM Left Ind 2"/>
    <w:basedOn w:val="Normal"/>
    <w:pPr>
      <w:spacing w:after="240"/>
      <w:ind w:left="2880"/>
    </w:pPr>
  </w:style>
  <w:style w:type="paragraph" w:customStyle="1" w:styleId="DMNotice">
    <w:name w:val="DM Notice"/>
    <w:basedOn w:val="Normal"/>
    <w:pPr>
      <w:tabs>
        <w:tab w:val="right" w:leader="underscore" w:pos="5760"/>
      </w:tabs>
      <w:spacing w:after="240"/>
      <w:ind w:left="1440"/>
      <w:contextualSpacing/>
    </w:pPr>
  </w:style>
  <w:style w:type="paragraph" w:customStyle="1" w:styleId="DMSignatureLine">
    <w:name w:val="DM Signature Line"/>
    <w:basedOn w:val="Normal"/>
    <w:pPr>
      <w:tabs>
        <w:tab w:val="right" w:leader="underscore" w:pos="9360"/>
      </w:tabs>
      <w:ind w:left="5040"/>
    </w:pPr>
  </w:style>
  <w:style w:type="paragraph" w:customStyle="1" w:styleId="DMTableText">
    <w:name w:val="DM Table Text"/>
    <w:basedOn w:val="Normal"/>
    <w:qFormat/>
    <w:rPr>
      <w:rFonts w:eastAsia="Times New Roman" w:cs="Times New Roman"/>
      <w:szCs w:val="20"/>
    </w:rPr>
  </w:style>
  <w:style w:type="paragraph" w:customStyle="1" w:styleId="DMTitleI">
    <w:name w:val="DM Title I"/>
    <w:basedOn w:val="Normal"/>
    <w:next w:val="DMBdyTxt5"/>
    <w:pPr>
      <w:keepNext/>
      <w:spacing w:after="240"/>
      <w:jc w:val="center"/>
      <w:outlineLvl w:val="0"/>
    </w:pPr>
    <w:rPr>
      <w:i/>
    </w:rPr>
  </w:style>
  <w:style w:type="paragraph" w:customStyle="1" w:styleId="DMTitleLeftI">
    <w:name w:val="DM Title Left I"/>
    <w:basedOn w:val="Normal"/>
    <w:next w:val="DMBdyTxt5"/>
    <w:pPr>
      <w:keepNext/>
      <w:spacing w:after="240"/>
      <w:outlineLvl w:val="0"/>
    </w:pPr>
    <w:rPr>
      <w:i/>
    </w:rPr>
  </w:style>
  <w:style w:type="paragraph" w:customStyle="1" w:styleId="DMTitleLeft">
    <w:name w:val="DM Title Left"/>
    <w:basedOn w:val="Normal"/>
    <w:next w:val="DMBdyTxt5"/>
    <w:qFormat/>
    <w:pPr>
      <w:keepNext/>
      <w:spacing w:after="240"/>
      <w:outlineLvl w:val="0"/>
    </w:pPr>
  </w:style>
  <w:style w:type="paragraph" w:customStyle="1" w:styleId="DMTitleLeftU">
    <w:name w:val="DM Title Left U"/>
    <w:basedOn w:val="Normal"/>
    <w:next w:val="DMBdyTxt5"/>
    <w:pPr>
      <w:keepNext/>
      <w:spacing w:after="240"/>
      <w:outlineLvl w:val="0"/>
    </w:pPr>
    <w:rPr>
      <w:u w:val="single"/>
    </w:rPr>
  </w:style>
  <w:style w:type="paragraph" w:customStyle="1" w:styleId="DMTitleU">
    <w:name w:val="DM Title U"/>
    <w:basedOn w:val="Normal"/>
    <w:next w:val="DMBdyTxt5"/>
    <w:pPr>
      <w:keepNext/>
      <w:spacing w:after="240"/>
      <w:jc w:val="center"/>
      <w:outlineLvl w:val="0"/>
    </w:pPr>
    <w:rPr>
      <w:u w:val="single"/>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91275">
      <w:bodyDiv w:val="1"/>
      <w:marLeft w:val="0"/>
      <w:marRight w:val="0"/>
      <w:marTop w:val="0"/>
      <w:marBottom w:val="0"/>
      <w:divBdr>
        <w:top w:val="none" w:sz="0" w:space="0" w:color="auto"/>
        <w:left w:val="none" w:sz="0" w:space="0" w:color="auto"/>
        <w:bottom w:val="none" w:sz="0" w:space="0" w:color="auto"/>
        <w:right w:val="none" w:sz="0" w:space="0" w:color="auto"/>
      </w:divBdr>
    </w:div>
    <w:div w:id="15907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jasper.ai/category/420-jasper-use-cases" TargetMode="External"/><Relationship Id="rId13" Type="http://schemas.openxmlformats.org/officeDocument/2006/relationships/hyperlink" Target="https://www.copyright.gov/policy/section512/section-512-full-report.pdf" TargetMode="External"/><Relationship Id="rId18" Type="http://schemas.openxmlformats.org/officeDocument/2006/relationships/hyperlink" Target="https://www.courthousenews.com/wp-content/uploads/2023/06/walters-openai-complaint-gwinnett-county.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jasper.ai/pricing" TargetMode="External"/><Relationship Id="rId12" Type="http://schemas.openxmlformats.org/officeDocument/2006/relationships/hyperlink" Target="https://www.law.cornell.edu/uscode/text/17/512" TargetMode="External"/><Relationship Id="rId17" Type="http://schemas.openxmlformats.org/officeDocument/2006/relationships/hyperlink" Target="https://www.hawley.senate.gov/sites/default/files/2023-06/Hawley-No-Section-230-Immunity-for-AI-Act.pdf" TargetMode="External"/><Relationship Id="rId2" Type="http://schemas.openxmlformats.org/officeDocument/2006/relationships/styles" Target="styles.xml"/><Relationship Id="rId16" Type="http://schemas.openxmlformats.org/officeDocument/2006/relationships/hyperlink" Target="https://www.techdirt.com/2023/03/17/yes-section-230-should-protect-chatgpt-and-others-generative-ai-t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openai.com/docs/guides/gpt-best-practices" TargetMode="External"/><Relationship Id="rId5" Type="http://schemas.openxmlformats.org/officeDocument/2006/relationships/footnotes" Target="footnotes.xml"/><Relationship Id="rId15" Type="http://schemas.openxmlformats.org/officeDocument/2006/relationships/hyperlink" Target="https://www.lawfareblog.com/section-230-wont-protect-chatgpt" TargetMode="External"/><Relationship Id="rId10" Type="http://schemas.openxmlformats.org/officeDocument/2006/relationships/hyperlink" Target="https://papers.ssrn.com/sol3/papers.cfm?abstract_id=443859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rxiv.org/abs/2303.15715" TargetMode="External"/><Relationship Id="rId14" Type="http://schemas.openxmlformats.org/officeDocument/2006/relationships/hyperlink" Target="https://www.law.cornell.edu/uscode/text/47/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uane%20Morri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Blank.dotx</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Goranin</dc:creator>
  <cp:keywords/>
  <dc:description/>
  <cp:lastModifiedBy>Aleksander Goranin</cp:lastModifiedBy>
  <cp:revision>2</cp:revision>
  <dcterms:created xsi:type="dcterms:W3CDTF">2023-06-18T19:58:00Z</dcterms:created>
  <dcterms:modified xsi:type="dcterms:W3CDTF">2023-06-18T19:58:00Z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ID">
    <vt:lpwstr>DM2\18027610.1</vt:lpwstr>
  </property>
</Properties>
</file>